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6212BE91" w:rsidR="00BC5D95" w:rsidRPr="009752AD" w:rsidRDefault="002B16E4" w:rsidP="00BC5D95">
      <w:pPr>
        <w:pStyle w:val="Heading2"/>
        <w:contextualSpacing w:val="0"/>
        <w:rPr>
          <w:color w:val="002060"/>
          <w:sz w:val="24"/>
        </w:rPr>
      </w:pPr>
      <w:r>
        <w:rPr>
          <w:color w:val="002060"/>
          <w:sz w:val="24"/>
        </w:rPr>
        <w:t>Nitric a</w:t>
      </w:r>
      <w:bookmarkStart w:id="0" w:name="_GoBack"/>
      <w:bookmarkEnd w:id="0"/>
      <w:r w:rsidR="00E50639">
        <w:rPr>
          <w:color w:val="002060"/>
          <w:sz w:val="24"/>
        </w:rPr>
        <w:t>cid</w:t>
      </w:r>
      <w:r w:rsidR="00BC5D95" w:rsidRPr="009752AD">
        <w:rPr>
          <w:color w:val="002060"/>
          <w:sz w:val="24"/>
        </w:rPr>
        <w:t xml:space="preserve"> 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7CF5CBBB" w:rsidR="00BC5D95" w:rsidRPr="009752AD" w:rsidRDefault="42F76F65" w:rsidP="00BC5D95">
      <w:pPr>
        <w:spacing w:after="0"/>
        <w:rPr>
          <w:rFonts w:ascii="Times New Roman" w:hAnsi="Times New Roman" w:cs="Times New Roman"/>
          <w:sz w:val="24"/>
          <w:szCs w:val="24"/>
        </w:rPr>
      </w:pPr>
      <w:r w:rsidRPr="42F76F65">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Pr="42F76F65">
            <w:rPr>
              <w:rFonts w:ascii="Times New Roman" w:hAnsi="Times New Roman" w:cs="Times New Roman"/>
              <w:sz w:val="24"/>
              <w:szCs w:val="24"/>
            </w:rPr>
            <w:t xml:space="preserve">store, handle, use, and dispose of </w:t>
          </w:r>
          <w:r w:rsidR="00916D71">
            <w:rPr>
              <w:rFonts w:ascii="Times New Roman" w:hAnsi="Times New Roman" w:cs="Times New Roman"/>
              <w:sz w:val="24"/>
              <w:szCs w:val="24"/>
            </w:rPr>
            <w:t xml:space="preserve">nitric acid </w:t>
          </w:r>
        </w:sdtContent>
      </w:sdt>
      <w:r w:rsidR="00F34413">
        <w:rPr>
          <w:rFonts w:ascii="Times New Roman" w:hAnsi="Times New Roman" w:cs="Times New Roman"/>
          <w:sz w:val="24"/>
          <w:szCs w:val="24"/>
        </w:rPr>
        <w:t xml:space="preserve">at the </w:t>
      </w:r>
      <w:r w:rsidRPr="42F76F65">
        <w:rPr>
          <w:rFonts w:ascii="Times New Roman" w:hAnsi="Times New Roman" w:cs="Times New Roman"/>
          <w:sz w:val="24"/>
          <w:szCs w:val="24"/>
        </w:rPr>
        <w:t xml:space="preserve"> </w:t>
      </w:r>
      <w:sdt>
        <w:sdtPr>
          <w:rPr>
            <w:rFonts w:ascii="Times New Roman" w:hAnsi="Times New Roman" w:cs="Times New Roman"/>
            <w:sz w:val="24"/>
            <w:szCs w:val="24"/>
          </w:rPr>
          <w:id w:val="-1355188800"/>
          <w:placeholder>
            <w:docPart w:val="811860E0A6A0418ABABA5404ED516234"/>
          </w:placeholder>
        </w:sdtPr>
        <w:sdtEndPr/>
        <w:sdtContent>
          <w:r w:rsidR="00F34413">
            <w:rPr>
              <w:rFonts w:ascii="Times New Roman" w:hAnsi="Times New Roman" w:cs="Times New Roman"/>
              <w:sz w:val="24"/>
              <w:szCs w:val="24"/>
            </w:rPr>
            <w:t>University of Arizona</w:t>
          </w:r>
        </w:sdtContent>
      </w:sdt>
      <w:r w:rsidRPr="42F76F65">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42F76F65">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42F76F65">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0FC4D8FB" w:rsidR="00BC5D95" w:rsidRPr="009752AD" w:rsidRDefault="42F76F65" w:rsidP="42F76F65">
      <w:pPr>
        <w:spacing w:after="0"/>
        <w:ind w:left="29"/>
        <w:rPr>
          <w:rFonts w:ascii="Times New Roman" w:hAnsi="Times New Roman" w:cs="Times New Roman"/>
          <w:i/>
          <w:iCs/>
          <w:sz w:val="24"/>
          <w:szCs w:val="24"/>
        </w:rPr>
      </w:pPr>
      <w:r w:rsidRPr="42F76F65">
        <w:rPr>
          <w:rFonts w:ascii="Times New Roman" w:hAnsi="Times New Roman" w:cs="Times New Roman"/>
          <w:i/>
          <w:iCs/>
          <w:sz w:val="24"/>
          <w:szCs w:val="24"/>
          <w:highlight w:val="yellow"/>
        </w:rPr>
        <w:t>[Describe the hazards presented by the procedure or process this SOP addresses.  What makes it hazardous?  Provide an example, if applicable.]</w:t>
      </w:r>
    </w:p>
    <w:p w14:paraId="324F1E41" w14:textId="199FCF19" w:rsidR="00BC5D95" w:rsidRDefault="00BC5D95" w:rsidP="00BC5D95">
      <w:pPr>
        <w:spacing w:after="0"/>
        <w:ind w:left="29"/>
        <w:rPr>
          <w:rFonts w:ascii="Times New Roman" w:hAnsi="Times New Roman" w:cs="Times New Roman"/>
          <w:sz w:val="24"/>
          <w:szCs w:val="24"/>
        </w:rPr>
      </w:pPr>
    </w:p>
    <w:p w14:paraId="22D8A410" w14:textId="46CBB3B6" w:rsidR="00617914" w:rsidRDefault="00617914" w:rsidP="00617914">
      <w:pPr>
        <w:spacing w:after="0"/>
        <w:ind w:left="29"/>
        <w:jc w:val="center"/>
        <w:rPr>
          <w:rFonts w:ascii="Times New Roman" w:hAnsi="Times New Roman" w:cs="Times New Roman"/>
          <w:sz w:val="24"/>
          <w:szCs w:val="24"/>
        </w:rPr>
      </w:pPr>
      <w:r>
        <w:rPr>
          <w:noProof/>
        </w:rPr>
        <w:drawing>
          <wp:inline distT="0" distB="0" distL="0" distR="0" wp14:anchorId="0FBA2C81" wp14:editId="7C4AD493">
            <wp:extent cx="2663917" cy="99896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9493" cy="1008560"/>
                    </a:xfrm>
                    <a:prstGeom prst="rect">
                      <a:avLst/>
                    </a:prstGeom>
                  </pic:spPr>
                </pic:pic>
              </a:graphicData>
            </a:graphic>
          </wp:inline>
        </w:drawing>
      </w:r>
    </w:p>
    <w:p w14:paraId="56159292" w14:textId="753A70AD" w:rsidR="00677C18" w:rsidRPr="00617914" w:rsidRDefault="00F241C7" w:rsidP="00617914">
      <w:pPr>
        <w:spacing w:before="120" w:after="120" w:line="288" w:lineRule="auto"/>
        <w:rPr>
          <w:rFonts w:ascii="Times New Roman" w:hAnsi="Times New Roman" w:cs="Times New Roman"/>
          <w:sz w:val="24"/>
          <w:szCs w:val="24"/>
        </w:rPr>
      </w:pPr>
      <w:r w:rsidRPr="00F34413">
        <w:rPr>
          <w:rFonts w:ascii="Times New Roman" w:hAnsi="Times New Roman" w:cs="Times New Roman"/>
          <w:sz w:val="24"/>
          <w:szCs w:val="24"/>
        </w:rPr>
        <w:t>Nitric acid - HNO</w:t>
      </w:r>
      <w:r w:rsidRPr="00F34413">
        <w:rPr>
          <w:rFonts w:ascii="Times New Roman" w:hAnsi="Times New Roman" w:cs="Times New Roman"/>
          <w:sz w:val="24"/>
          <w:szCs w:val="24"/>
          <w:vertAlign w:val="subscript"/>
        </w:rPr>
        <w:t>3</w:t>
      </w:r>
      <w:r w:rsidRPr="00F34413">
        <w:rPr>
          <w:rFonts w:ascii="Times New Roman" w:hAnsi="Times New Roman" w:cs="Times New Roman"/>
          <w:sz w:val="24"/>
          <w:szCs w:val="24"/>
        </w:rPr>
        <w:t xml:space="preserve"> (also known as </w:t>
      </w:r>
      <w:r w:rsidRPr="00916D71">
        <w:rPr>
          <w:rFonts w:ascii="Times New Roman" w:hAnsi="Times New Roman" w:cs="Times New Roman"/>
          <w:i/>
          <w:sz w:val="24"/>
          <w:szCs w:val="24"/>
        </w:rPr>
        <w:t xml:space="preserve">aqua </w:t>
      </w:r>
      <w:proofErr w:type="spellStart"/>
      <w:r w:rsidRPr="00916D71">
        <w:rPr>
          <w:rFonts w:ascii="Times New Roman" w:hAnsi="Times New Roman" w:cs="Times New Roman"/>
          <w:i/>
          <w:sz w:val="24"/>
          <w:szCs w:val="24"/>
        </w:rPr>
        <w:t>fortis</w:t>
      </w:r>
      <w:proofErr w:type="spellEnd"/>
      <w:r w:rsidRPr="00F34413">
        <w:rPr>
          <w:rFonts w:ascii="Times New Roman" w:hAnsi="Times New Roman" w:cs="Times New Roman"/>
          <w:sz w:val="24"/>
          <w:szCs w:val="24"/>
        </w:rPr>
        <w:t>) is a corrosive acid and strong oxidizing agent</w:t>
      </w:r>
      <w:r w:rsidR="00F34413" w:rsidRPr="00F34413">
        <w:rPr>
          <w:rFonts w:ascii="Times New Roman" w:hAnsi="Times New Roman" w:cs="Times New Roman"/>
          <w:sz w:val="24"/>
          <w:szCs w:val="24"/>
        </w:rPr>
        <w:t>, which may intensify fire</w:t>
      </w:r>
      <w:r w:rsidRPr="00F34413">
        <w:rPr>
          <w:rFonts w:ascii="Times New Roman" w:hAnsi="Times New Roman" w:cs="Times New Roman"/>
          <w:sz w:val="24"/>
          <w:szCs w:val="24"/>
        </w:rPr>
        <w:t>.</w:t>
      </w:r>
      <w:r w:rsidR="00F34413" w:rsidRPr="00F34413">
        <w:rPr>
          <w:rFonts w:ascii="Times New Roman" w:hAnsi="Times New Roman" w:cs="Times New Roman"/>
          <w:sz w:val="24"/>
          <w:szCs w:val="24"/>
        </w:rPr>
        <w:t xml:space="preserve"> </w:t>
      </w:r>
      <w:r w:rsidR="00F34413" w:rsidRPr="00F34413">
        <w:rPr>
          <w:rFonts w:ascii="Times New Roman" w:hAnsi="Times New Roman" w:cs="Times New Roman"/>
          <w:sz w:val="24"/>
          <w:szCs w:val="24"/>
          <w:lang w:val="en"/>
        </w:rPr>
        <w:t xml:space="preserve">Fire conditions may cause the formation of hazardous nitrogen oxides. It can react violently with organic chemicals such as organic solvents. </w:t>
      </w:r>
      <w:r w:rsidRPr="00F34413">
        <w:rPr>
          <w:rFonts w:ascii="Times New Roman" w:hAnsi="Times New Roman" w:cs="Times New Roman"/>
          <w:sz w:val="24"/>
          <w:szCs w:val="24"/>
        </w:rPr>
        <w:t xml:space="preserve">It may be harmful if </w:t>
      </w:r>
      <w:r w:rsidRPr="00F34413">
        <w:rPr>
          <w:rFonts w:ascii="Times New Roman" w:hAnsi="Times New Roman" w:cs="Times New Roman"/>
          <w:sz w:val="24"/>
          <w:szCs w:val="24"/>
        </w:rPr>
        <w:lastRenderedPageBreak/>
        <w:t xml:space="preserve">ingested, inhaled, or absorbed through the skin. It can cause severe skin and eye burns resulting in irreversible damage. It is extremely destructive to the tissue of the mucous membranes and the upper respiratory tract. </w:t>
      </w:r>
      <w:r w:rsidR="00F34413" w:rsidRPr="00F34413">
        <w:rPr>
          <w:rFonts w:ascii="Times New Roman" w:hAnsi="Times New Roman" w:cs="Times New Roman"/>
          <w:sz w:val="24"/>
          <w:szCs w:val="24"/>
          <w:lang w:val="en"/>
        </w:rPr>
        <w:t xml:space="preserve">Other symptoms include burning sensation, coughing, wheezing, shortness of breath, headache, nausea, vomiting, and pulmonary edema. Effects may be delayed. Large doses may conversion of hemoglobin to </w:t>
      </w:r>
      <w:proofErr w:type="spellStart"/>
      <w:r w:rsidR="00F34413" w:rsidRPr="00F34413">
        <w:rPr>
          <w:rFonts w:ascii="Times New Roman" w:hAnsi="Times New Roman" w:cs="Times New Roman"/>
          <w:sz w:val="24"/>
          <w:szCs w:val="24"/>
          <w:lang w:val="en"/>
        </w:rPr>
        <w:t>methemoglobin</w:t>
      </w:r>
      <w:proofErr w:type="spellEnd"/>
      <w:r w:rsidR="00F34413" w:rsidRPr="00F34413">
        <w:rPr>
          <w:rFonts w:ascii="Times New Roman" w:hAnsi="Times New Roman" w:cs="Times New Roman"/>
          <w:sz w:val="24"/>
          <w:szCs w:val="24"/>
          <w:lang w:val="en"/>
        </w:rPr>
        <w:t xml:space="preserve">, producing cyanosis or a drastic fall in blood pressure, leading to collapse, coma, and possibly death. Chronic exposure may cause erosion of the teeth, jaw necrosis, and kidney damage. </w:t>
      </w:r>
      <w:r w:rsidR="00617914">
        <w:rPr>
          <w:rFonts w:ascii="Times New Roman" w:hAnsi="Times New Roman" w:cs="Times New Roman"/>
          <w:sz w:val="24"/>
          <w:szCs w:val="24"/>
        </w:rPr>
        <w:t>If you prepare a</w:t>
      </w:r>
      <w:r w:rsidRPr="00F34413">
        <w:rPr>
          <w:rFonts w:ascii="Times New Roman" w:hAnsi="Times New Roman" w:cs="Times New Roman"/>
          <w:sz w:val="24"/>
          <w:szCs w:val="24"/>
        </w:rPr>
        <w:t xml:space="preserve">qua </w:t>
      </w:r>
      <w:proofErr w:type="spellStart"/>
      <w:r w:rsidRPr="00F34413">
        <w:rPr>
          <w:rFonts w:ascii="Times New Roman" w:hAnsi="Times New Roman" w:cs="Times New Roman"/>
          <w:sz w:val="24"/>
          <w:szCs w:val="24"/>
        </w:rPr>
        <w:t>regia</w:t>
      </w:r>
      <w:proofErr w:type="spellEnd"/>
      <w:r w:rsidRPr="00F34413">
        <w:rPr>
          <w:rFonts w:ascii="Times New Roman" w:hAnsi="Times New Roman" w:cs="Times New Roman"/>
          <w:sz w:val="24"/>
          <w:szCs w:val="24"/>
        </w:rPr>
        <w:t xml:space="preserve"> (mixture of HNO</w:t>
      </w:r>
      <w:r w:rsidRPr="00F34413">
        <w:rPr>
          <w:rFonts w:ascii="Times New Roman" w:hAnsi="Times New Roman" w:cs="Times New Roman"/>
          <w:sz w:val="24"/>
          <w:szCs w:val="24"/>
          <w:vertAlign w:val="subscript"/>
        </w:rPr>
        <w:t>3</w:t>
      </w:r>
      <w:r w:rsidRPr="00F34413">
        <w:rPr>
          <w:rFonts w:ascii="Times New Roman" w:hAnsi="Times New Roman" w:cs="Times New Roman"/>
          <w:sz w:val="24"/>
          <w:szCs w:val="24"/>
        </w:rPr>
        <w:t xml:space="preserve">: </w:t>
      </w:r>
      <w:proofErr w:type="spellStart"/>
      <w:r w:rsidRPr="00F34413">
        <w:rPr>
          <w:rFonts w:ascii="Times New Roman" w:hAnsi="Times New Roman" w:cs="Times New Roman"/>
          <w:sz w:val="24"/>
          <w:szCs w:val="24"/>
        </w:rPr>
        <w:t>HCl</w:t>
      </w:r>
      <w:proofErr w:type="spellEnd"/>
      <w:r w:rsidRPr="00F34413">
        <w:rPr>
          <w:rFonts w:ascii="Times New Roman" w:hAnsi="Times New Roman" w:cs="Times New Roman"/>
          <w:sz w:val="24"/>
          <w:szCs w:val="24"/>
        </w:rPr>
        <w:t xml:space="preserve"> at 1:3 ratio), a separate SOP is required.</w:t>
      </w:r>
    </w:p>
    <w:p w14:paraId="5683ED25" w14:textId="77777777" w:rsidR="00F241C7" w:rsidRPr="009752AD" w:rsidRDefault="00F241C7" w:rsidP="00BC5D95">
      <w:pPr>
        <w:spacing w:after="0"/>
        <w:ind w:left="29"/>
        <w:rPr>
          <w:rFonts w:ascii="Times New Roman" w:hAnsi="Times New Roman" w:cs="Times New Roman"/>
          <w:sz w:val="24"/>
          <w:szCs w:val="24"/>
        </w:rPr>
      </w:pPr>
    </w:p>
    <w:p w14:paraId="5ECA3C07" w14:textId="209E20BC" w:rsidR="00E14FF3" w:rsidRPr="009752AD"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26533B3C" w:rsidR="00BC5D95" w:rsidRDefault="42F76F65" w:rsidP="42F76F65">
      <w:pPr>
        <w:spacing w:after="0"/>
        <w:ind w:left="29"/>
        <w:rPr>
          <w:rFonts w:ascii="Times New Roman" w:hAnsi="Times New Roman" w:cs="Times New Roman"/>
          <w:i/>
          <w:iCs/>
          <w:sz w:val="24"/>
          <w:szCs w:val="24"/>
        </w:rPr>
      </w:pPr>
      <w:r w:rsidRPr="42F76F65">
        <w:rPr>
          <w:rFonts w:ascii="Times New Roman" w:hAnsi="Times New Roman" w:cs="Times New Roman"/>
          <w:i/>
          <w:iCs/>
          <w:sz w:val="24"/>
          <w:szCs w:val="24"/>
          <w:highlight w:val="yellow"/>
        </w:rPr>
        <w:t xml:space="preserve">[Describe any eliminations of hazardous chemicals or processes; alternatively, any substitutions with less hazardous alternatives that could be used to accomplish the task.]  </w:t>
      </w:r>
    </w:p>
    <w:p w14:paraId="621436C0" w14:textId="77777777" w:rsidR="00916D71" w:rsidRDefault="00916D71" w:rsidP="42F76F65">
      <w:pPr>
        <w:spacing w:after="0"/>
        <w:ind w:left="29"/>
        <w:rPr>
          <w:rFonts w:ascii="Times New Roman" w:hAnsi="Times New Roman" w:cs="Times New Roman"/>
          <w:i/>
          <w:iCs/>
          <w:sz w:val="24"/>
          <w:szCs w:val="24"/>
        </w:rPr>
      </w:pPr>
    </w:p>
    <w:p w14:paraId="5A0EAC7F" w14:textId="214B8874" w:rsidR="00EF2FDB" w:rsidRPr="00EF2FDB" w:rsidRDefault="00EF2FDB" w:rsidP="00EF2FD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When possible, use a substitution to </w:t>
      </w:r>
      <w:r w:rsidR="00916D71">
        <w:rPr>
          <w:rFonts w:ascii="Times New Roman" w:hAnsi="Times New Roman" w:cs="Times New Roman"/>
          <w:sz w:val="24"/>
          <w:szCs w:val="24"/>
        </w:rPr>
        <w:t xml:space="preserve">nitric acid </w:t>
      </w:r>
      <w:r>
        <w:rPr>
          <w:rFonts w:ascii="Times New Roman" w:hAnsi="Times New Roman" w:cs="Times New Roman"/>
          <w:sz w:val="24"/>
          <w:szCs w:val="24"/>
        </w:rPr>
        <w:t>such as hydrochloric acid or sodium bisulfate</w:t>
      </w:r>
    </w:p>
    <w:p w14:paraId="6D4192A6"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63C3E4E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6BF521C0" w14:textId="77777777" w:rsidR="00F241C7" w:rsidRDefault="00F241C7" w:rsidP="00BC5D95">
      <w:pPr>
        <w:spacing w:after="0"/>
        <w:rPr>
          <w:color w:val="000000"/>
          <w:szCs w:val="20"/>
        </w:rPr>
      </w:pPr>
    </w:p>
    <w:p w14:paraId="7511CCBE" w14:textId="608B097B" w:rsidR="00BC5D95" w:rsidRPr="00D647A7" w:rsidRDefault="42F76F65" w:rsidP="00C20099">
      <w:pPr>
        <w:pStyle w:val="ListParagraph"/>
        <w:numPr>
          <w:ilvl w:val="0"/>
          <w:numId w:val="7"/>
        </w:numPr>
        <w:spacing w:after="0"/>
        <w:rPr>
          <w:rFonts w:ascii="Times New Roman" w:hAnsi="Times New Roman" w:cs="Times New Roman"/>
          <w:color w:val="000000"/>
          <w:sz w:val="24"/>
          <w:szCs w:val="24"/>
        </w:rPr>
      </w:pPr>
      <w:r w:rsidRPr="42F76F65">
        <w:rPr>
          <w:rFonts w:ascii="Times New Roman" w:hAnsi="Times New Roman" w:cs="Times New Roman"/>
          <w:b/>
          <w:bCs/>
          <w:color w:val="000000" w:themeColor="text1"/>
          <w:sz w:val="24"/>
          <w:szCs w:val="24"/>
        </w:rPr>
        <w:t xml:space="preserve">Fume hoods: </w:t>
      </w:r>
      <w:r w:rsidRPr="42F76F65">
        <w:rPr>
          <w:rFonts w:ascii="Times New Roman" w:hAnsi="Times New Roman" w:cs="Times New Roman"/>
          <w:color w:val="000000" w:themeColor="text1"/>
          <w:sz w:val="24"/>
          <w:szCs w:val="24"/>
        </w:rPr>
        <w:t>Use fume hood to keep exposure to nitric acid as low as possible.</w:t>
      </w:r>
    </w:p>
    <w:p w14:paraId="45DBF598" w14:textId="77777777" w:rsidR="00D647A7" w:rsidRDefault="00D647A7" w:rsidP="00D647A7">
      <w:pPr>
        <w:spacing w:after="0"/>
        <w:rPr>
          <w:rFonts w:ascii="Times New Roman" w:hAnsi="Times New Roman" w:cs="Times New Roman"/>
          <w:b/>
          <w:bCs/>
          <w:sz w:val="24"/>
          <w:szCs w:val="24"/>
        </w:rPr>
      </w:pPr>
    </w:p>
    <w:p w14:paraId="03BE5273" w14:textId="77777777" w:rsidR="00F241C7" w:rsidRPr="009752AD" w:rsidRDefault="00F241C7" w:rsidP="00F241C7">
      <w:pPr>
        <w:spacing w:after="0"/>
        <w:ind w:left="1080"/>
        <w:rPr>
          <w:rFonts w:ascii="Times New Roman" w:hAnsi="Times New Roman" w:cs="Times New Roman"/>
          <w:bCs/>
          <w:sz w:val="24"/>
          <w:szCs w:val="24"/>
        </w:rPr>
      </w:pPr>
    </w:p>
    <w:p w14:paraId="7C5FEC41" w14:textId="76E5BC2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530B631A" w14:textId="6CB22CBD" w:rsidR="00BC5D95" w:rsidRPr="00C02F8D" w:rsidRDefault="00BC5D95" w:rsidP="00C02F8D">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work practices (e.g. staggering schedules, additional cleaning measures for particulates, etc.) that are used to safely accomplish the task.]  </w:t>
      </w:r>
    </w:p>
    <w:p w14:paraId="26E6DFEE" w14:textId="77777777" w:rsidR="00916D71" w:rsidRDefault="00677C18" w:rsidP="00916D7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6D71">
        <w:rPr>
          <w:rFonts w:ascii="Times New Roman" w:eastAsia="Times New Roman" w:hAnsi="Times New Roman" w:cs="Times New Roman"/>
          <w:sz w:val="24"/>
          <w:szCs w:val="24"/>
        </w:rPr>
        <w:t>Designate an area for working with nitric acid (</w:t>
      </w:r>
      <w:r w:rsidR="00EF2FDB" w:rsidRPr="00916D71">
        <w:rPr>
          <w:rFonts w:ascii="Times New Roman" w:eastAsia="Times New Roman" w:hAnsi="Times New Roman" w:cs="Times New Roman"/>
          <w:sz w:val="24"/>
          <w:szCs w:val="24"/>
        </w:rPr>
        <w:t>e.g.,</w:t>
      </w:r>
      <w:r w:rsidRPr="00916D71">
        <w:rPr>
          <w:rFonts w:ascii="Times New Roman" w:eastAsia="Times New Roman" w:hAnsi="Times New Roman" w:cs="Times New Roman"/>
          <w:sz w:val="24"/>
          <w:szCs w:val="24"/>
        </w:rPr>
        <w:t xml:space="preserve"> fume hood). </w:t>
      </w:r>
    </w:p>
    <w:p w14:paraId="093809FC" w14:textId="77777777" w:rsidR="00916D71" w:rsidRDefault="42F76F65" w:rsidP="00916D7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6D71">
        <w:rPr>
          <w:rFonts w:ascii="Times New Roman" w:eastAsia="Times New Roman" w:hAnsi="Times New Roman" w:cs="Times New Roman"/>
          <w:sz w:val="24"/>
          <w:szCs w:val="24"/>
        </w:rPr>
        <w:t xml:space="preserve">Work should be done in a way that avoids hand/glove contact with nitric acid; it should be noted that nitric acid penetrates standard nitrile gloves in 5 minutes or less. If gloves come in contact with nitric acid through a splash (or otherwise) they should be removed and changed immediately. Once work with nitric acid is complete, decontaminate the area by wiping it down with a soap and water solution. </w:t>
      </w:r>
    </w:p>
    <w:p w14:paraId="05E4C254" w14:textId="5824720C" w:rsidR="42F76F65" w:rsidRPr="00916D71" w:rsidRDefault="42F76F65" w:rsidP="00916D7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6D71">
        <w:rPr>
          <w:rFonts w:ascii="Times New Roman" w:eastAsia="Times New Roman" w:hAnsi="Times New Roman" w:cs="Times New Roman"/>
          <w:sz w:val="24"/>
          <w:szCs w:val="24"/>
        </w:rPr>
        <w:lastRenderedPageBreak/>
        <w:t>Never boil or heat nitric enough to cause evaporation into duct work. If nitric acid heating is required, contact RLSS for a hazard assessment and to determine appropriate control measures.</w:t>
      </w:r>
    </w:p>
    <w:p w14:paraId="043F3D54" w14:textId="77777777" w:rsidR="00677C18" w:rsidRPr="009752AD" w:rsidRDefault="00677C18" w:rsidP="00BC5D95">
      <w:pPr>
        <w:pStyle w:val="ListParagraph"/>
        <w:spacing w:after="0"/>
        <w:ind w:left="1440"/>
        <w:contextualSpacing w:val="0"/>
        <w:rPr>
          <w:rFonts w:ascii="Times New Roman" w:hAnsi="Times New Roman" w:cs="Times New Roman"/>
          <w:b/>
          <w:color w:val="002060"/>
          <w:sz w:val="24"/>
          <w:szCs w:val="24"/>
        </w:rPr>
      </w:pPr>
    </w:p>
    <w:p w14:paraId="01EC2291" w14:textId="77777777"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2B01A158"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89769F5" w14:textId="77777777" w:rsidR="00677C18" w:rsidRPr="009752AD" w:rsidRDefault="00677C18" w:rsidP="00BC5D95">
      <w:pPr>
        <w:spacing w:after="0"/>
        <w:rPr>
          <w:rFonts w:ascii="Times New Roman" w:hAnsi="Times New Roman" w:cs="Times New Roman"/>
          <w:i/>
          <w:sz w:val="24"/>
          <w:szCs w:val="24"/>
        </w:rPr>
      </w:pPr>
    </w:p>
    <w:p w14:paraId="67FADD8E" w14:textId="2D408E77" w:rsidR="00617914" w:rsidRDefault="00617914" w:rsidP="00617914">
      <w:pPr>
        <w:pStyle w:val="ListParagraph"/>
        <w:numPr>
          <w:ilvl w:val="0"/>
          <w:numId w:val="7"/>
        </w:numPr>
        <w:spacing w:after="0"/>
        <w:rPr>
          <w:rFonts w:ascii="Times New Roman" w:hAnsi="Times New Roman" w:cs="Times New Roman"/>
          <w:sz w:val="24"/>
          <w:szCs w:val="24"/>
        </w:rPr>
      </w:pPr>
      <w:bookmarkStart w:id="1" w:name="_Hlk69461444"/>
      <w:r w:rsidRPr="00C021E6">
        <w:rPr>
          <w:rFonts w:ascii="Times New Roman" w:hAnsi="Times New Roman" w:cs="Times New Roman"/>
          <w:b/>
          <w:bCs/>
          <w:sz w:val="24"/>
          <w:szCs w:val="24"/>
        </w:rPr>
        <w:t xml:space="preserve">Hand </w:t>
      </w:r>
      <w:r>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Pr="0041048C">
        <w:rPr>
          <w:rFonts w:ascii="Times New Roman" w:hAnsi="Times New Roman" w:cs="Times New Roman"/>
          <w:sz w:val="24"/>
          <w:szCs w:val="24"/>
        </w:rPr>
        <w:t>Elbow-length, acid resistant gloves should always be used when creating, working with, or cleaning up</w:t>
      </w:r>
      <w:r>
        <w:rPr>
          <w:rFonts w:ascii="Times New Roman" w:hAnsi="Times New Roman" w:cs="Times New Roman"/>
          <w:sz w:val="24"/>
          <w:szCs w:val="24"/>
        </w:rPr>
        <w:t xml:space="preserve">. </w:t>
      </w:r>
      <w:r w:rsidRPr="00C02F8D">
        <w:rPr>
          <w:rFonts w:ascii="Times New Roman" w:hAnsi="Times New Roman" w:cs="Times New Roman"/>
          <w:sz w:val="24"/>
          <w:szCs w:val="24"/>
        </w:rPr>
        <w:t>Two-sets of chemical-resistant gloves (e.g., nitrile) should be worn (“double-gloving”). A heavy-duty glove, such as butyl rubber, Viton, or equivalent, is recommended, especially when handling concentrated nitric acid or more than 1L. Nitrile gloves are NOT recommended for nitric acid.</w:t>
      </w:r>
    </w:p>
    <w:p w14:paraId="1E127DE9" w14:textId="277DE788" w:rsidR="00617914" w:rsidRPr="00617914" w:rsidRDefault="00617914" w:rsidP="00617914">
      <w:pPr>
        <w:pStyle w:val="ListParagraph"/>
        <w:numPr>
          <w:ilvl w:val="0"/>
          <w:numId w:val="7"/>
        </w:numPr>
        <w:jc w:val="both"/>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Pr="00C02F8D">
        <w:rPr>
          <w:rFonts w:ascii="Times New Roman" w:hAnsi="Times New Roman" w:cs="Times New Roman"/>
          <w:sz w:val="24"/>
          <w:szCs w:val="24"/>
        </w:rPr>
        <w:t>Safety goggles are required for the use of nitric acid. A fa</w:t>
      </w:r>
      <w:r>
        <w:rPr>
          <w:rFonts w:ascii="Times New Roman" w:hAnsi="Times New Roman" w:cs="Times New Roman"/>
          <w:sz w:val="24"/>
          <w:szCs w:val="24"/>
        </w:rPr>
        <w:t>ce shield is highly recommended.</w:t>
      </w:r>
    </w:p>
    <w:p w14:paraId="467507A5" w14:textId="779A7DD4" w:rsidR="00617914" w:rsidRDefault="00617914" w:rsidP="006179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bCs/>
          <w:sz w:val="24"/>
          <w:szCs w:val="24"/>
        </w:rPr>
        <w:t>Body Protection</w:t>
      </w:r>
      <w:r>
        <w:rPr>
          <w:rFonts w:ascii="Times New Roman" w:hAnsi="Times New Roman" w:cs="Times New Roman"/>
          <w:sz w:val="24"/>
          <w:szCs w:val="24"/>
        </w:rPr>
        <w:t>: A 100% cotton lab coat should be used and can be combined with an acid resistant apron to prevent exposure to the body.</w:t>
      </w:r>
    </w:p>
    <w:p w14:paraId="7CDA3170" w14:textId="4624A8B7" w:rsidR="00916D71" w:rsidRPr="0041048C" w:rsidRDefault="00916D71" w:rsidP="006179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bCs/>
          <w:sz w:val="24"/>
          <w:szCs w:val="24"/>
        </w:rPr>
        <w:t>Respiratory Protection</w:t>
      </w:r>
      <w:r w:rsidRPr="00916D7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Respirators </w:t>
      </w:r>
      <w:r w:rsidRPr="00F755DA">
        <w:rPr>
          <w:rFonts w:ascii="Times New Roman" w:eastAsia="Times New Roman" w:hAnsi="Times New Roman" w:cs="Times New Roman"/>
          <w:color w:val="000000" w:themeColor="text1"/>
          <w:sz w:val="24"/>
          <w:szCs w:val="24"/>
        </w:rPr>
        <w:t>may be required if exposures are not able to be adequately controlled by the use of engineering controls or other means. All uses of respiratory protection require RLSS assessment and consultation (for assessment of work, selection of respirator and filtration, and OSHA-mandated medical clearance and fit testing).</w:t>
      </w:r>
      <w:r>
        <w:rPr>
          <w:rFonts w:ascii="Times New Roman" w:eastAsia="Times New Roman" w:hAnsi="Times New Roman" w:cs="Times New Roman"/>
          <w:color w:val="000000" w:themeColor="text1"/>
          <w:sz w:val="24"/>
          <w:szCs w:val="24"/>
        </w:rPr>
        <w:t xml:space="preserve"> Contact </w:t>
      </w:r>
      <w:hyperlink r:id="rId9" w:history="1">
        <w:r w:rsidRPr="000451BC">
          <w:rPr>
            <w:rStyle w:val="Hyperlink"/>
            <w:rFonts w:ascii="Times New Roman" w:eastAsia="Times New Roman" w:hAnsi="Times New Roman" w:cs="Times New Roman"/>
            <w:sz w:val="24"/>
            <w:szCs w:val="24"/>
          </w:rPr>
          <w:t>rlss-ppe@arizona.edu</w:t>
        </w:r>
      </w:hyperlink>
      <w:r>
        <w:rPr>
          <w:rFonts w:ascii="Times New Roman" w:eastAsia="Times New Roman" w:hAnsi="Times New Roman" w:cs="Times New Roman"/>
          <w:color w:val="000000" w:themeColor="text1"/>
          <w:sz w:val="24"/>
          <w:szCs w:val="24"/>
        </w:rPr>
        <w:t xml:space="preserve"> with any questions or concerns.</w:t>
      </w:r>
    </w:p>
    <w:bookmarkEnd w:id="1"/>
    <w:p w14:paraId="4B7DCB31" w14:textId="77777777" w:rsidR="00617914" w:rsidRPr="00617914" w:rsidRDefault="00617914" w:rsidP="00617914">
      <w:pPr>
        <w:jc w:val="both"/>
        <w:rPr>
          <w:rFonts w:ascii="Times New Roman" w:hAnsi="Times New Roman" w:cs="Times New Roman"/>
          <w:sz w:val="24"/>
          <w:szCs w:val="24"/>
        </w:rPr>
      </w:pPr>
    </w:p>
    <w:p w14:paraId="6A0FCAC1" w14:textId="61F73464" w:rsidR="00BC5D95" w:rsidRPr="009752AD"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9752AD">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63A1CF5F" w14:textId="5C4B6D5F"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3A469E51" w:rsidR="00BC5D95" w:rsidRDefault="00BC5D95" w:rsidP="00BC5D95">
      <w:pPr>
        <w:spacing w:after="0"/>
        <w:rPr>
          <w:rFonts w:ascii="Times New Roman" w:hAnsi="Times New Roman" w:cs="Times New Roman"/>
          <w:b/>
          <w:sz w:val="24"/>
          <w:szCs w:val="24"/>
        </w:rPr>
      </w:pPr>
    </w:p>
    <w:p w14:paraId="51500E7B" w14:textId="77777777" w:rsidR="00677C18" w:rsidRDefault="42F76F65" w:rsidP="00677C18">
      <w:pPr>
        <w:pStyle w:val="ListParagraph"/>
        <w:numPr>
          <w:ilvl w:val="0"/>
          <w:numId w:val="7"/>
        </w:numPr>
        <w:jc w:val="both"/>
        <w:rPr>
          <w:rFonts w:ascii="Times New Roman" w:hAnsi="Times New Roman" w:cs="Times New Roman"/>
          <w:sz w:val="24"/>
          <w:szCs w:val="24"/>
        </w:rPr>
      </w:pPr>
      <w:r w:rsidRPr="42F76F65">
        <w:rPr>
          <w:rFonts w:ascii="Times New Roman" w:hAnsi="Times New Roman" w:cs="Times New Roman"/>
          <w:sz w:val="24"/>
          <w:szCs w:val="24"/>
        </w:rPr>
        <w:t xml:space="preserve">Keep container tightly closed in a dry and well-ventilated area, away from direct sunlight. </w:t>
      </w:r>
    </w:p>
    <w:p w14:paraId="7FB7FCD4" w14:textId="77777777" w:rsidR="00677C18" w:rsidRDefault="42F76F65" w:rsidP="00677C18">
      <w:pPr>
        <w:pStyle w:val="ListParagraph"/>
        <w:numPr>
          <w:ilvl w:val="0"/>
          <w:numId w:val="7"/>
        </w:numPr>
        <w:jc w:val="both"/>
        <w:rPr>
          <w:rFonts w:ascii="Times New Roman" w:hAnsi="Times New Roman" w:cs="Times New Roman"/>
          <w:sz w:val="24"/>
          <w:szCs w:val="24"/>
        </w:rPr>
      </w:pPr>
      <w:r w:rsidRPr="42F76F65">
        <w:rPr>
          <w:rFonts w:ascii="Times New Roman" w:hAnsi="Times New Roman" w:cs="Times New Roman"/>
          <w:sz w:val="24"/>
          <w:szCs w:val="24"/>
        </w:rPr>
        <w:t xml:space="preserve">Opened containers must be carefully resealed and stored upright to prevent leakage. </w:t>
      </w:r>
    </w:p>
    <w:p w14:paraId="6656E0C0" w14:textId="77777777" w:rsidR="00C02F8D" w:rsidRDefault="42F76F65" w:rsidP="00677C18">
      <w:pPr>
        <w:pStyle w:val="ListParagraph"/>
        <w:numPr>
          <w:ilvl w:val="0"/>
          <w:numId w:val="7"/>
        </w:numPr>
        <w:jc w:val="both"/>
        <w:rPr>
          <w:rFonts w:ascii="Times New Roman" w:hAnsi="Times New Roman" w:cs="Times New Roman"/>
          <w:sz w:val="24"/>
          <w:szCs w:val="24"/>
        </w:rPr>
      </w:pPr>
      <w:r w:rsidRPr="42F76F65">
        <w:rPr>
          <w:rFonts w:ascii="Times New Roman" w:hAnsi="Times New Roman" w:cs="Times New Roman"/>
          <w:sz w:val="24"/>
          <w:szCs w:val="24"/>
        </w:rPr>
        <w:t xml:space="preserve">Always store nitric acid in secondary containment. </w:t>
      </w:r>
    </w:p>
    <w:p w14:paraId="238C478E" w14:textId="77777777" w:rsidR="00C02F8D" w:rsidRDefault="42F76F65" w:rsidP="00C02F8D">
      <w:pPr>
        <w:pStyle w:val="ListParagraph"/>
        <w:numPr>
          <w:ilvl w:val="1"/>
          <w:numId w:val="7"/>
        </w:numPr>
        <w:jc w:val="both"/>
        <w:rPr>
          <w:rFonts w:ascii="Times New Roman" w:hAnsi="Times New Roman" w:cs="Times New Roman"/>
          <w:sz w:val="24"/>
          <w:szCs w:val="24"/>
        </w:rPr>
      </w:pPr>
      <w:r w:rsidRPr="42F76F65">
        <w:rPr>
          <w:rFonts w:ascii="Times New Roman" w:hAnsi="Times New Roman" w:cs="Times New Roman"/>
          <w:sz w:val="24"/>
          <w:szCs w:val="24"/>
          <w:u w:val="single"/>
        </w:rPr>
        <w:t>Note</w:t>
      </w:r>
      <w:r w:rsidRPr="42F76F65">
        <w:rPr>
          <w:rFonts w:ascii="Times New Roman" w:hAnsi="Times New Roman" w:cs="Times New Roman"/>
          <w:sz w:val="24"/>
          <w:szCs w:val="24"/>
        </w:rPr>
        <w:t>: Nalgene/polypropylene tray or a tub is the best suited secondary containment.</w:t>
      </w:r>
    </w:p>
    <w:p w14:paraId="40A75CA0" w14:textId="78F32982" w:rsidR="00677C18" w:rsidRDefault="42F76F65" w:rsidP="00C02F8D">
      <w:pPr>
        <w:pStyle w:val="ListParagraph"/>
        <w:numPr>
          <w:ilvl w:val="0"/>
          <w:numId w:val="7"/>
        </w:numPr>
        <w:jc w:val="both"/>
        <w:rPr>
          <w:rFonts w:ascii="Times New Roman" w:hAnsi="Times New Roman" w:cs="Times New Roman"/>
          <w:sz w:val="24"/>
          <w:szCs w:val="24"/>
        </w:rPr>
      </w:pPr>
      <w:r w:rsidRPr="42F76F65">
        <w:rPr>
          <w:rFonts w:ascii="Times New Roman" w:hAnsi="Times New Roman" w:cs="Times New Roman"/>
          <w:sz w:val="24"/>
          <w:szCs w:val="24"/>
        </w:rPr>
        <w:t xml:space="preserve">Containers holding nitric acid need to be stored below eye level. </w:t>
      </w:r>
    </w:p>
    <w:p w14:paraId="640FA5B9" w14:textId="77777777" w:rsidR="00677C18" w:rsidRDefault="42F76F65" w:rsidP="00677C18">
      <w:pPr>
        <w:pStyle w:val="ListParagraph"/>
        <w:numPr>
          <w:ilvl w:val="0"/>
          <w:numId w:val="7"/>
        </w:numPr>
        <w:jc w:val="both"/>
        <w:rPr>
          <w:rFonts w:ascii="Times New Roman" w:hAnsi="Times New Roman" w:cs="Times New Roman"/>
          <w:sz w:val="24"/>
          <w:szCs w:val="24"/>
        </w:rPr>
      </w:pPr>
      <w:r w:rsidRPr="42F76F65">
        <w:rPr>
          <w:rFonts w:ascii="Times New Roman" w:hAnsi="Times New Roman" w:cs="Times New Roman"/>
          <w:sz w:val="24"/>
          <w:szCs w:val="24"/>
        </w:rPr>
        <w:t xml:space="preserve">Store nitric acid away from flammable and combustible materials. </w:t>
      </w:r>
    </w:p>
    <w:p w14:paraId="37080E69" w14:textId="5AAAD6BF" w:rsidR="00677C18" w:rsidRDefault="42F76F65" w:rsidP="00677C18">
      <w:pPr>
        <w:pStyle w:val="ListParagraph"/>
        <w:numPr>
          <w:ilvl w:val="0"/>
          <w:numId w:val="7"/>
        </w:numPr>
        <w:jc w:val="both"/>
        <w:rPr>
          <w:rFonts w:ascii="Times New Roman" w:hAnsi="Times New Roman" w:cs="Times New Roman"/>
          <w:sz w:val="24"/>
          <w:szCs w:val="24"/>
        </w:rPr>
      </w:pPr>
      <w:r w:rsidRPr="42F76F65">
        <w:rPr>
          <w:rFonts w:ascii="Times New Roman" w:hAnsi="Times New Roman" w:cs="Times New Roman"/>
          <w:sz w:val="24"/>
          <w:szCs w:val="24"/>
        </w:rPr>
        <w:t xml:space="preserve">Incompatibles include reducing agents, bases, alkali metals, cyanides, powdered metals, and organic materials (including organic acids and solvents). </w:t>
      </w:r>
    </w:p>
    <w:p w14:paraId="4234697C" w14:textId="77777777" w:rsidR="00F241C7" w:rsidRPr="009752AD" w:rsidRDefault="00F241C7" w:rsidP="00BC5D95">
      <w:pPr>
        <w:spacing w:after="0"/>
        <w:rPr>
          <w:rFonts w:ascii="Times New Roman" w:hAnsi="Times New Roman" w:cs="Times New Roman"/>
          <w:b/>
          <w:sz w:val="24"/>
          <w:szCs w:val="24"/>
        </w:rPr>
      </w:pPr>
    </w:p>
    <w:p w14:paraId="6DB247FD" w14:textId="088778EC" w:rsidR="00BC5D95" w:rsidRPr="009752AD"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2"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lastRenderedPageBreak/>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bookmarkEnd w:id="2"/>
    <w:p w14:paraId="0124D667" w14:textId="05AE5757" w:rsidR="00BC5D95" w:rsidRDefault="00BC5D95" w:rsidP="00BC5D95">
      <w:pPr>
        <w:spacing w:after="0"/>
        <w:rPr>
          <w:rFonts w:ascii="Times New Roman" w:hAnsi="Times New Roman" w:cs="Times New Roman"/>
          <w:i/>
          <w:sz w:val="24"/>
          <w:szCs w:val="24"/>
        </w:rPr>
      </w:pPr>
    </w:p>
    <w:p w14:paraId="4F0586C4" w14:textId="77777777" w:rsidR="00C02F8D" w:rsidRPr="00C02F8D" w:rsidRDefault="00F241C7" w:rsidP="00916D71">
      <w:pPr>
        <w:pStyle w:val="ListParagraph"/>
        <w:ind w:left="360"/>
        <w:jc w:val="both"/>
        <w:rPr>
          <w:rFonts w:ascii="Times New Roman" w:hAnsi="Times New Roman" w:cs="Times New Roman"/>
          <w:b/>
          <w:bCs/>
          <w:sz w:val="24"/>
          <w:szCs w:val="24"/>
        </w:rPr>
      </w:pPr>
      <w:r w:rsidRPr="00C02F8D">
        <w:rPr>
          <w:rFonts w:ascii="Times New Roman" w:hAnsi="Times New Roman" w:cs="Times New Roman"/>
          <w:b/>
          <w:bCs/>
          <w:sz w:val="24"/>
          <w:szCs w:val="24"/>
        </w:rPr>
        <w:t>Spills</w:t>
      </w:r>
    </w:p>
    <w:p w14:paraId="6CE610D0" w14:textId="37C75FFA" w:rsidR="00617914" w:rsidRDefault="00617914" w:rsidP="00617914">
      <w:pPr>
        <w:jc w:val="both"/>
        <w:rPr>
          <w:rFonts w:ascii="Times New Roman" w:hAnsi="Times New Roman" w:cs="Times New Roman"/>
          <w:sz w:val="24"/>
          <w:szCs w:val="24"/>
        </w:rPr>
      </w:pPr>
    </w:p>
    <w:p w14:paraId="57057373" w14:textId="77777777" w:rsidR="00617914" w:rsidRPr="00C44371" w:rsidRDefault="00617914" w:rsidP="00617914">
      <w:pPr>
        <w:autoSpaceDE w:val="0"/>
        <w:autoSpaceDN w:val="0"/>
        <w:adjustRightInd w:val="0"/>
        <w:rPr>
          <w:rFonts w:ascii="Times" w:hAnsi="Times" w:cs="Times New Roman"/>
          <w:bCs/>
          <w:sz w:val="24"/>
          <w:szCs w:val="24"/>
        </w:rPr>
      </w:pPr>
      <w:r>
        <w:rPr>
          <w:rFonts w:ascii="Times" w:hAnsi="Times" w:cs="Times New Roman"/>
          <w:bCs/>
          <w:sz w:val="24"/>
          <w:szCs w:val="24"/>
        </w:rPr>
        <w:t xml:space="preserve">Spill response should always follow the </w:t>
      </w:r>
      <w:hyperlink r:id="rId10"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Please find general guidance below:</w:t>
      </w:r>
    </w:p>
    <w:p w14:paraId="072AF68C" w14:textId="77777777" w:rsidR="00617914" w:rsidRPr="00C021E6" w:rsidRDefault="00617914" w:rsidP="00617914">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Minor</w:t>
      </w:r>
      <w:r w:rsidRPr="00C021E6">
        <w:rPr>
          <w:rFonts w:ascii="Times New Roman" w:hAnsi="Times New Roman" w:cs="Times New Roman"/>
          <w:bCs/>
          <w:sz w:val="24"/>
          <w:szCs w:val="24"/>
        </w:rPr>
        <w:t xml:space="preserve"> spills in well-ventilated should be neutralized immediately with sodium bicarbonate or other acid neutralizer. </w:t>
      </w:r>
    </w:p>
    <w:p w14:paraId="1640FE54" w14:textId="77777777" w:rsidR="00617914" w:rsidRPr="00C44371" w:rsidRDefault="00617914" w:rsidP="00617914">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Major</w:t>
      </w:r>
      <w:r w:rsidRPr="00C021E6">
        <w:rPr>
          <w:rFonts w:ascii="Times New Roman" w:hAnsi="Times New Roman" w:cs="Times New Roman"/>
          <w:bCs/>
          <w:sz w:val="24"/>
          <w:szCs w:val="24"/>
        </w:rPr>
        <w:t xml:space="preserve"> spills or spills in poorly ventilated areas require evacuation of the laboratory</w:t>
      </w:r>
      <w:r>
        <w:rPr>
          <w:rFonts w:ascii="Times New Roman" w:hAnsi="Times New Roman" w:cs="Times New Roman"/>
          <w:bCs/>
          <w:sz w:val="24"/>
          <w:szCs w:val="24"/>
        </w:rPr>
        <w:t>; evacuate and call 911</w:t>
      </w:r>
      <w:r w:rsidRPr="00C021E6">
        <w:rPr>
          <w:rFonts w:ascii="Times New Roman" w:hAnsi="Times New Roman" w:cs="Times New Roman"/>
          <w:bCs/>
          <w:sz w:val="24"/>
          <w:szCs w:val="24"/>
        </w:rPr>
        <w:t xml:space="preserve">. </w:t>
      </w:r>
    </w:p>
    <w:p w14:paraId="56698919" w14:textId="77777777" w:rsidR="00617914" w:rsidRPr="007C3BF8" w:rsidRDefault="00617914" w:rsidP="00617914">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617914" w14:paraId="3AB8BFC3" w14:textId="77777777" w:rsidTr="00193625">
        <w:trPr>
          <w:trHeight w:val="329"/>
        </w:trPr>
        <w:tc>
          <w:tcPr>
            <w:tcW w:w="2561" w:type="dxa"/>
          </w:tcPr>
          <w:p w14:paraId="29BD60D8" w14:textId="77777777" w:rsidR="00617914" w:rsidRPr="007C3BF8" w:rsidRDefault="00617914"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6139135C" w14:textId="77777777" w:rsidR="00617914" w:rsidRPr="007C3BF8" w:rsidRDefault="00617914"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65A8A8E8" w14:textId="77777777" w:rsidR="00617914" w:rsidRPr="007C3BF8" w:rsidRDefault="00617914"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1264A91F" w14:textId="77777777" w:rsidR="00617914" w:rsidRPr="007C3BF8" w:rsidRDefault="00617914"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617914" w:rsidRPr="00D558AE" w14:paraId="7BF97773" w14:textId="77777777" w:rsidTr="00193625">
        <w:trPr>
          <w:trHeight w:val="728"/>
        </w:trPr>
        <w:tc>
          <w:tcPr>
            <w:tcW w:w="2561" w:type="dxa"/>
          </w:tcPr>
          <w:p w14:paraId="5CA169D7" w14:textId="77777777" w:rsidR="00617914" w:rsidRPr="00D558AE" w:rsidRDefault="00617914" w:rsidP="00193625">
            <w:pPr>
              <w:rPr>
                <w:rFonts w:ascii="Times New Roman" w:hAnsi="Times New Roman" w:cs="Times New Roman"/>
              </w:rPr>
            </w:pPr>
            <w:r w:rsidRPr="00D558AE">
              <w:rPr>
                <w:rFonts w:ascii="Times New Roman" w:hAnsi="Times New Roman" w:cs="Times New Roman"/>
                <w:shd w:val="clear" w:color="auto" w:fill="FFFFFF"/>
              </w:rPr>
              <w:t>May irritate the respiratory tract.  Conscious persons should be assisted to an area with fresh, uncontaminated air.  Seek medical attention in the event of respiratory irritation, cough, or tightness in the chest.  Symptoms may be delayed.</w:t>
            </w:r>
          </w:p>
        </w:tc>
        <w:tc>
          <w:tcPr>
            <w:tcW w:w="2561" w:type="dxa"/>
          </w:tcPr>
          <w:p w14:paraId="37663A51" w14:textId="77777777" w:rsidR="00617914" w:rsidRPr="00D558AE" w:rsidRDefault="00617914" w:rsidP="00193625">
            <w:pPr>
              <w:rPr>
                <w:rFonts w:ascii="Times New Roman" w:hAnsi="Times New Roman" w:cs="Times New Roman"/>
                <w:iCs/>
              </w:rPr>
            </w:pPr>
            <w:r w:rsidRPr="00445A02">
              <w:rPr>
                <w:rFonts w:ascii="Times New Roman" w:hAnsi="Times New Roman" w:cs="Times New Roman"/>
                <w:shd w:val="clear" w:color="auto" w:fill="FFFFFF"/>
              </w:rPr>
              <w:t>Rinse mouth. Do not induce vomiting</w:t>
            </w:r>
            <w:r>
              <w:rPr>
                <w:rFonts w:ascii="Times New Roman" w:hAnsi="Times New Roman" w:cs="Times New Roman"/>
                <w:shd w:val="clear" w:color="auto" w:fill="FFFFFF"/>
              </w:rPr>
              <w:t xml:space="preserve">. </w:t>
            </w:r>
            <w:r w:rsidRPr="00D558AE">
              <w:rPr>
                <w:rFonts w:ascii="Times New Roman" w:hAnsi="Times New Roman" w:cs="Times New Roman"/>
                <w:shd w:val="clear" w:color="auto" w:fill="FFFFFF"/>
              </w:rPr>
              <w:t>Seek medical attention</w:t>
            </w:r>
            <w:r>
              <w:rPr>
                <w:rFonts w:ascii="Times New Roman" w:hAnsi="Times New Roman" w:cs="Times New Roman"/>
                <w:shd w:val="clear" w:color="auto" w:fill="FFFFFF"/>
              </w:rPr>
              <w:t xml:space="preserve"> immediately</w:t>
            </w:r>
            <w:r w:rsidRPr="00D558AE">
              <w:rPr>
                <w:rFonts w:ascii="Times New Roman" w:hAnsi="Times New Roman" w:cs="Times New Roman"/>
                <w:shd w:val="clear" w:color="auto" w:fill="FFFFFF"/>
              </w:rPr>
              <w:t>.</w:t>
            </w:r>
          </w:p>
        </w:tc>
        <w:tc>
          <w:tcPr>
            <w:tcW w:w="2561" w:type="dxa"/>
          </w:tcPr>
          <w:p w14:paraId="67D80DC4" w14:textId="77777777" w:rsidR="00617914" w:rsidRPr="00D558AE" w:rsidRDefault="00617914" w:rsidP="00193625">
            <w:pPr>
              <w:rPr>
                <w:rFonts w:ascii="Times New Roman" w:hAnsi="Times New Roman" w:cs="Times New Roman"/>
                <w:iCs/>
              </w:rPr>
            </w:pPr>
            <w:r w:rsidRPr="00D558AE">
              <w:rPr>
                <w:rFonts w:ascii="Times New Roman" w:hAnsi="Times New Roman" w:cs="Times New Roman"/>
                <w:shd w:val="clear" w:color="auto" w:fill="FFFFFF"/>
              </w:rPr>
              <w:t>May cause skin burns.  Flush the skin with copious amounts of water for at least 15 minutes.  Seek medical attention</w:t>
            </w:r>
            <w:r>
              <w:rPr>
                <w:rFonts w:ascii="Times New Roman" w:hAnsi="Times New Roman" w:cs="Times New Roman"/>
                <w:shd w:val="clear" w:color="auto" w:fill="FFFFFF"/>
              </w:rPr>
              <w:t xml:space="preserve"> immediately</w:t>
            </w:r>
            <w:r w:rsidRPr="00D558AE">
              <w:rPr>
                <w:rFonts w:ascii="Times New Roman" w:hAnsi="Times New Roman" w:cs="Times New Roman"/>
                <w:shd w:val="clear" w:color="auto" w:fill="FFFFFF"/>
              </w:rPr>
              <w:t>.</w:t>
            </w:r>
          </w:p>
        </w:tc>
        <w:tc>
          <w:tcPr>
            <w:tcW w:w="2561" w:type="dxa"/>
          </w:tcPr>
          <w:p w14:paraId="6694F7F6" w14:textId="77777777" w:rsidR="00617914" w:rsidRPr="00D558AE" w:rsidRDefault="00617914" w:rsidP="00193625">
            <w:pPr>
              <w:rPr>
                <w:rFonts w:ascii="Times New Roman" w:hAnsi="Times New Roman" w:cs="Times New Roman"/>
                <w:iCs/>
              </w:rPr>
            </w:pPr>
            <w:r w:rsidRPr="00D558AE">
              <w:rPr>
                <w:rFonts w:ascii="Times New Roman" w:hAnsi="Times New Roman" w:cs="Times New Roman"/>
                <w:shd w:val="clear" w:color="auto" w:fill="FFFFFF"/>
              </w:rPr>
              <w:t xml:space="preserve">Aqua </w:t>
            </w:r>
            <w:proofErr w:type="spellStart"/>
            <w:r w:rsidRPr="00D558AE">
              <w:rPr>
                <w:rFonts w:ascii="Times New Roman" w:hAnsi="Times New Roman" w:cs="Times New Roman"/>
                <w:shd w:val="clear" w:color="auto" w:fill="FFFFFF"/>
              </w:rPr>
              <w:t>Regia</w:t>
            </w:r>
            <w:proofErr w:type="spellEnd"/>
            <w:r w:rsidRPr="00D558AE">
              <w:rPr>
                <w:rFonts w:ascii="Times New Roman" w:hAnsi="Times New Roman" w:cs="Times New Roman"/>
                <w:shd w:val="clear" w:color="auto" w:fill="FFFFFF"/>
              </w:rPr>
              <w:t xml:space="preserve"> is corrosive and irritating to the eyes.  Flush contaminated eye(s) immediately with copious quantities of water for at least 15 minutes.  Seek medical attention immediately.</w:t>
            </w:r>
          </w:p>
        </w:tc>
      </w:tr>
    </w:tbl>
    <w:p w14:paraId="76B9CC2A" w14:textId="77777777" w:rsidR="00617914" w:rsidRPr="00617914" w:rsidRDefault="00617914" w:rsidP="00617914">
      <w:pPr>
        <w:jc w:val="both"/>
        <w:rPr>
          <w:rFonts w:ascii="Times New Roman" w:hAnsi="Times New Roman" w:cs="Times New Roman"/>
          <w:sz w:val="24"/>
          <w:szCs w:val="24"/>
        </w:rPr>
      </w:pPr>
    </w:p>
    <w:p w14:paraId="3DD5D7CB" w14:textId="26E51367" w:rsidR="00F241C7" w:rsidRPr="00C02F8D" w:rsidRDefault="00F241C7" w:rsidP="00C02F8D">
      <w:pPr>
        <w:pStyle w:val="ListParagraph"/>
        <w:numPr>
          <w:ilvl w:val="0"/>
          <w:numId w:val="7"/>
        </w:numPr>
        <w:jc w:val="both"/>
        <w:rPr>
          <w:rFonts w:ascii="Times New Roman" w:hAnsi="Times New Roman" w:cs="Times New Roman"/>
          <w:sz w:val="24"/>
          <w:szCs w:val="24"/>
        </w:rPr>
      </w:pPr>
      <w:r w:rsidRPr="00C02F8D">
        <w:rPr>
          <w:rFonts w:ascii="Times New Roman" w:hAnsi="Times New Roman" w:cs="Times New Roman"/>
          <w:b/>
          <w:bCs/>
          <w:sz w:val="24"/>
          <w:szCs w:val="24"/>
        </w:rPr>
        <w:t>Disposal</w:t>
      </w:r>
      <w:r w:rsidRPr="00C02F8D">
        <w:rPr>
          <w:rFonts w:ascii="Times New Roman" w:hAnsi="Times New Roman" w:cs="Times New Roman"/>
          <w:sz w:val="24"/>
          <w:szCs w:val="24"/>
        </w:rPr>
        <w:t xml:space="preserve">: Nitric acid waste should never be combined with organics or reducing agents. The best practice is to store all nitric acid-containing waste streams in a dedicated container segregated from all other waste streams. </w:t>
      </w:r>
    </w:p>
    <w:p w14:paraId="4078A3A3" w14:textId="77777777" w:rsidR="00BC5D95" w:rsidRPr="009752AD" w:rsidRDefault="00BC5D95"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4DF31C95" w14:textId="3980770A" w:rsidR="00BC5D95" w:rsidRPr="009752AD" w:rsidRDefault="00BC5D95" w:rsidP="00BC5D95">
      <w:pPr>
        <w:spacing w:after="0"/>
        <w:rPr>
          <w:rFonts w:ascii="Times New Roman" w:hAnsi="Times New Roman" w:cs="Times New Roman"/>
          <w:i/>
          <w:sz w:val="24"/>
          <w:szCs w:val="24"/>
          <w:highlight w:val="yellow"/>
        </w:rPr>
      </w:pPr>
    </w:p>
    <w:p w14:paraId="029C62F7"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[Add as many sections as necessary to adequately describe how to safely perform the procedure or process addressed by this SOP.]</w:t>
      </w:r>
    </w:p>
    <w:p w14:paraId="690D4FB4" w14:textId="5A7B349E" w:rsidR="00BB547E" w:rsidRPr="00916D71" w:rsidRDefault="00BB547E" w:rsidP="00916D71">
      <w:pPr>
        <w:pStyle w:val="ListParagraph"/>
        <w:spacing w:after="0"/>
        <w:ind w:left="360"/>
        <w:contextualSpacing w:val="0"/>
        <w:rPr>
          <w:rFonts w:ascii="Times New Roman" w:hAnsi="Times New Roman" w:cs="Times New Roman"/>
          <w:b/>
          <w:color w:val="002060"/>
          <w:sz w:val="24"/>
          <w:szCs w:val="24"/>
        </w:rPr>
      </w:pPr>
    </w:p>
    <w:p w14:paraId="439E7DAC" w14:textId="5B295084" w:rsidR="00F241C7" w:rsidRPr="00916D71" w:rsidRDefault="00F241C7" w:rsidP="00916D71">
      <w:pPr>
        <w:pStyle w:val="ListParagraph"/>
        <w:numPr>
          <w:ilvl w:val="0"/>
          <w:numId w:val="1"/>
        </w:numPr>
        <w:spacing w:after="0"/>
        <w:ind w:left="360"/>
        <w:contextualSpacing w:val="0"/>
        <w:rPr>
          <w:rFonts w:ascii="Times New Roman" w:hAnsi="Times New Roman" w:cs="Times New Roman"/>
          <w:b/>
          <w:color w:val="002060"/>
          <w:sz w:val="24"/>
          <w:szCs w:val="24"/>
        </w:rPr>
      </w:pPr>
      <w:r w:rsidRPr="00916D71">
        <w:rPr>
          <w:rFonts w:ascii="Times New Roman" w:hAnsi="Times New Roman" w:cs="Times New Roman"/>
          <w:b/>
          <w:color w:val="002060"/>
          <w:sz w:val="24"/>
          <w:szCs w:val="24"/>
        </w:rPr>
        <w:t>References:</w:t>
      </w:r>
    </w:p>
    <w:p w14:paraId="5B02BE4E" w14:textId="7C2BB728" w:rsidR="00F241C7" w:rsidRDefault="002B16E4" w:rsidP="00F241C7">
      <w:pPr>
        <w:pStyle w:val="ListParagraph"/>
        <w:numPr>
          <w:ilvl w:val="0"/>
          <w:numId w:val="6"/>
        </w:numPr>
        <w:rPr>
          <w:rFonts w:ascii="Times New Roman" w:hAnsi="Times New Roman" w:cs="Times New Roman"/>
        </w:rPr>
      </w:pPr>
      <w:hyperlink r:id="rId11">
        <w:r w:rsidR="42F76F65" w:rsidRPr="42F76F65">
          <w:rPr>
            <w:rStyle w:val="Hyperlink"/>
            <w:rFonts w:ascii="Times New Roman" w:hAnsi="Times New Roman" w:cs="Times New Roman"/>
          </w:rPr>
          <w:t>https://pubchem.ncbi.nlm.nih.gov/compound/Nitric-acid</w:t>
        </w:r>
      </w:hyperlink>
    </w:p>
    <w:p w14:paraId="7BA7D2EC" w14:textId="261CF4F5" w:rsidR="00F241C7" w:rsidRDefault="002B16E4" w:rsidP="00F241C7">
      <w:pPr>
        <w:pStyle w:val="ListParagraph"/>
        <w:numPr>
          <w:ilvl w:val="0"/>
          <w:numId w:val="6"/>
        </w:numPr>
        <w:rPr>
          <w:rFonts w:ascii="Times New Roman" w:hAnsi="Times New Roman" w:cs="Times New Roman"/>
        </w:rPr>
      </w:pPr>
      <w:hyperlink r:id="rId12">
        <w:r w:rsidR="42F76F65" w:rsidRPr="42F76F65">
          <w:rPr>
            <w:rStyle w:val="Hyperlink"/>
            <w:rFonts w:ascii="Times New Roman" w:hAnsi="Times New Roman" w:cs="Times New Roman"/>
          </w:rPr>
          <w:t>https://www.cdc.gov/niosh/npg/npgd0447.html</w:t>
        </w:r>
      </w:hyperlink>
    </w:p>
    <w:p w14:paraId="4B393180" w14:textId="65CD4AAE" w:rsidR="00F241C7" w:rsidRPr="00677C18" w:rsidRDefault="002B16E4" w:rsidP="00C20099">
      <w:pPr>
        <w:pStyle w:val="ListParagraph"/>
        <w:numPr>
          <w:ilvl w:val="0"/>
          <w:numId w:val="6"/>
        </w:numPr>
        <w:rPr>
          <w:rStyle w:val="Hyperlink"/>
          <w:rFonts w:ascii="Times New Roman" w:hAnsi="Times New Roman" w:cs="Times New Roman"/>
          <w:color w:val="auto"/>
          <w:u w:val="none"/>
        </w:rPr>
      </w:pPr>
      <w:hyperlink r:id="rId13">
        <w:r w:rsidR="42F76F65" w:rsidRPr="42F76F65">
          <w:rPr>
            <w:rStyle w:val="Hyperlink"/>
            <w:rFonts w:ascii="Times New Roman" w:hAnsi="Times New Roman" w:cs="Times New Roman"/>
          </w:rPr>
          <w:t>https://betastatic.fishersci.com/content/dam/fishersci/en_US/documents/programs/education/regulatory-documents/sds/chemicals/chemicals-n/S25449.pdf</w:t>
        </w:r>
      </w:hyperlink>
    </w:p>
    <w:p w14:paraId="0FB6F1D2" w14:textId="296DA387" w:rsidR="00677C18" w:rsidRDefault="002B16E4" w:rsidP="00C20099">
      <w:pPr>
        <w:pStyle w:val="ListParagraph"/>
        <w:numPr>
          <w:ilvl w:val="0"/>
          <w:numId w:val="6"/>
        </w:numPr>
        <w:rPr>
          <w:rFonts w:ascii="Times New Roman" w:hAnsi="Times New Roman" w:cs="Times New Roman"/>
        </w:rPr>
      </w:pPr>
      <w:hyperlink r:id="rId14">
        <w:r w:rsidR="42F76F65" w:rsidRPr="42F76F65">
          <w:rPr>
            <w:rStyle w:val="Hyperlink"/>
            <w:rFonts w:ascii="Times New Roman" w:hAnsi="Times New Roman" w:cs="Times New Roman"/>
          </w:rPr>
          <w:t>https://www.ehs.washington.edu/resource/nitric-acid-sop-685</w:t>
        </w:r>
      </w:hyperlink>
    </w:p>
    <w:p w14:paraId="4FD564DC" w14:textId="34808A2B" w:rsidR="0078780B" w:rsidRPr="00B848EF" w:rsidRDefault="002B16E4" w:rsidP="00C20099">
      <w:pPr>
        <w:pStyle w:val="ListParagraph"/>
        <w:numPr>
          <w:ilvl w:val="0"/>
          <w:numId w:val="6"/>
        </w:numPr>
        <w:rPr>
          <w:rStyle w:val="Hyperlink"/>
          <w:rFonts w:ascii="Times New Roman" w:hAnsi="Times New Roman" w:cs="Times New Roman"/>
          <w:color w:val="auto"/>
          <w:u w:val="none"/>
        </w:rPr>
      </w:pPr>
      <w:hyperlink r:id="rId15">
        <w:r w:rsidR="42F76F65" w:rsidRPr="42F76F65">
          <w:rPr>
            <w:rStyle w:val="Hyperlink"/>
            <w:rFonts w:ascii="Times New Roman" w:hAnsi="Times New Roman" w:cs="Times New Roman"/>
          </w:rPr>
          <w:t>https://www.umflint.edu/sites/default/files/groups/Environment__Health___Safety/SOP_PDF/nitricacid.pdf</w:t>
        </w:r>
      </w:hyperlink>
    </w:p>
    <w:p w14:paraId="42416944" w14:textId="510164AD" w:rsidR="00B848EF" w:rsidRDefault="002B16E4" w:rsidP="00C20099">
      <w:pPr>
        <w:pStyle w:val="ListParagraph"/>
        <w:numPr>
          <w:ilvl w:val="0"/>
          <w:numId w:val="6"/>
        </w:numPr>
        <w:rPr>
          <w:rFonts w:ascii="Times New Roman" w:hAnsi="Times New Roman" w:cs="Times New Roman"/>
        </w:rPr>
      </w:pPr>
      <w:hyperlink r:id="rId16" w:history="1">
        <w:r w:rsidR="00B848EF" w:rsidRPr="00C3643C">
          <w:rPr>
            <w:rStyle w:val="Hyperlink"/>
            <w:rFonts w:ascii="Times New Roman" w:hAnsi="Times New Roman" w:cs="Times New Roman"/>
          </w:rPr>
          <w:t>https://rgw.arizona.edu/sites/default/files/cs-univeristy_chemical_hygiene_plan.pdf</w:t>
        </w:r>
      </w:hyperlink>
    </w:p>
    <w:p w14:paraId="115A0960" w14:textId="77777777" w:rsidR="00B848EF" w:rsidRDefault="00B848EF" w:rsidP="00B848EF">
      <w:pPr>
        <w:pStyle w:val="ListParagraph"/>
        <w:rPr>
          <w:rFonts w:ascii="Times New Roman" w:hAnsi="Times New Roman" w:cs="Times New Roman"/>
        </w:rPr>
      </w:pPr>
    </w:p>
    <w:p w14:paraId="25F6FC08" w14:textId="77777777" w:rsidR="0078780B" w:rsidRDefault="0078780B" w:rsidP="0078780B">
      <w:pPr>
        <w:pStyle w:val="ListParagraph"/>
        <w:rPr>
          <w:rFonts w:ascii="Times New Roman" w:hAnsi="Times New Roman" w:cs="Times New Roman"/>
        </w:rPr>
      </w:pPr>
    </w:p>
    <w:p w14:paraId="399528F3" w14:textId="77777777" w:rsidR="00C20099" w:rsidRPr="00C20099" w:rsidRDefault="00C20099" w:rsidP="00C20099">
      <w:pPr>
        <w:pStyle w:val="ListParagraph"/>
        <w:rPr>
          <w:rFonts w:ascii="Times New Roman" w:hAnsi="Times New Roman" w:cs="Times New Roman"/>
        </w:rPr>
      </w:pPr>
    </w:p>
    <w:sectPr w:rsidR="00C20099" w:rsidRPr="00C20099" w:rsidSect="00811525">
      <w:footerReference w:type="default" r:id="rId1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59A2" w14:textId="77777777" w:rsidR="002828F4" w:rsidRDefault="002828F4">
      <w:pPr>
        <w:spacing w:after="0" w:line="240" w:lineRule="auto"/>
      </w:pPr>
      <w:r>
        <w:separator/>
      </w:r>
    </w:p>
  </w:endnote>
  <w:endnote w:type="continuationSeparator" w:id="0">
    <w:p w14:paraId="76789790" w14:textId="77777777" w:rsidR="002828F4" w:rsidRDefault="0028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7B31EECD" w:rsidR="00EA7ED2" w:rsidRPr="00EA7ED2" w:rsidRDefault="006E624F">
    <w:pPr>
      <w:pStyle w:val="Footer"/>
      <w:jc w:val="right"/>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Pr>
        <w:rFonts w:ascii="Times New Roman" w:hAnsi="Times New Roman" w:cs="Times New Roman"/>
        <w:sz w:val="20"/>
      </w:rPr>
      <w:tab/>
    </w:r>
    <w:r>
      <w:rPr>
        <w:rFonts w:ascii="Times New Roman" w:hAnsi="Times New Roman" w:cs="Times New Roman"/>
        <w:sz w:val="20"/>
      </w:rPr>
      <w:tab/>
    </w:r>
    <w:r w:rsidR="00BC5D95"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BC5D95" w:rsidRPr="00EA7ED2">
          <w:rPr>
            <w:rFonts w:ascii="Times New Roman" w:hAnsi="Times New Roman" w:cs="Times New Roman"/>
            <w:sz w:val="20"/>
          </w:rPr>
          <w:fldChar w:fldCharType="begin"/>
        </w:r>
        <w:r w:rsidR="00BC5D95" w:rsidRPr="00EA7ED2">
          <w:rPr>
            <w:rFonts w:ascii="Times New Roman" w:hAnsi="Times New Roman" w:cs="Times New Roman"/>
            <w:sz w:val="20"/>
          </w:rPr>
          <w:instrText xml:space="preserve"> PAGE   \* MERGEFORMAT </w:instrText>
        </w:r>
        <w:r w:rsidR="00BC5D95" w:rsidRPr="00EA7ED2">
          <w:rPr>
            <w:rFonts w:ascii="Times New Roman" w:hAnsi="Times New Roman" w:cs="Times New Roman"/>
            <w:sz w:val="20"/>
          </w:rPr>
          <w:fldChar w:fldCharType="separate"/>
        </w:r>
        <w:r w:rsidR="002B16E4">
          <w:rPr>
            <w:rFonts w:ascii="Times New Roman" w:hAnsi="Times New Roman" w:cs="Times New Roman"/>
            <w:noProof/>
            <w:sz w:val="20"/>
          </w:rPr>
          <w:t>1</w:t>
        </w:r>
        <w:r w:rsidR="00BC5D95"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FB253" w14:textId="77777777" w:rsidR="002828F4" w:rsidRDefault="002828F4">
      <w:pPr>
        <w:spacing w:after="0" w:line="240" w:lineRule="auto"/>
      </w:pPr>
      <w:r>
        <w:separator/>
      </w:r>
    </w:p>
  </w:footnote>
  <w:footnote w:type="continuationSeparator" w:id="0">
    <w:p w14:paraId="2BABB7D2" w14:textId="77777777" w:rsidR="002828F4" w:rsidRDefault="00282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914F0"/>
    <w:multiLevelType w:val="hybridMultilevel"/>
    <w:tmpl w:val="DD2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E6EA1"/>
    <w:multiLevelType w:val="hybridMultilevel"/>
    <w:tmpl w:val="8152CBEC"/>
    <w:lvl w:ilvl="0" w:tplc="5DB8C0DE">
      <w:start w:val="19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D6DC5"/>
    <w:multiLevelType w:val="hybridMultilevel"/>
    <w:tmpl w:val="0928A586"/>
    <w:lvl w:ilvl="0" w:tplc="600E729A">
      <w:start w:val="1"/>
      <w:numFmt w:val="bullet"/>
      <w:lvlText w:val=""/>
      <w:lvlJc w:val="left"/>
      <w:pPr>
        <w:ind w:left="360" w:hanging="360"/>
      </w:pPr>
      <w:rPr>
        <w:rFonts w:ascii="Symbol" w:hAnsi="Symbol" w:hint="default"/>
      </w:rPr>
    </w:lvl>
    <w:lvl w:ilvl="1" w:tplc="F0221006">
      <w:start w:val="1"/>
      <w:numFmt w:val="bullet"/>
      <w:lvlText w:val="o"/>
      <w:lvlJc w:val="left"/>
      <w:pPr>
        <w:ind w:left="1080" w:hanging="360"/>
      </w:pPr>
      <w:rPr>
        <w:rFonts w:ascii="Courier New" w:hAnsi="Courier New" w:hint="default"/>
      </w:rPr>
    </w:lvl>
    <w:lvl w:ilvl="2" w:tplc="19063BB4" w:tentative="1">
      <w:start w:val="1"/>
      <w:numFmt w:val="bullet"/>
      <w:lvlText w:val=""/>
      <w:lvlJc w:val="left"/>
      <w:pPr>
        <w:ind w:left="1800" w:hanging="360"/>
      </w:pPr>
      <w:rPr>
        <w:rFonts w:ascii="Wingdings" w:hAnsi="Wingdings" w:hint="default"/>
      </w:rPr>
    </w:lvl>
    <w:lvl w:ilvl="3" w:tplc="F31E640E" w:tentative="1">
      <w:start w:val="1"/>
      <w:numFmt w:val="bullet"/>
      <w:lvlText w:val=""/>
      <w:lvlJc w:val="left"/>
      <w:pPr>
        <w:ind w:left="2520" w:hanging="360"/>
      </w:pPr>
      <w:rPr>
        <w:rFonts w:ascii="Symbol" w:hAnsi="Symbol" w:hint="default"/>
      </w:rPr>
    </w:lvl>
    <w:lvl w:ilvl="4" w:tplc="CCAC6710" w:tentative="1">
      <w:start w:val="1"/>
      <w:numFmt w:val="bullet"/>
      <w:lvlText w:val="o"/>
      <w:lvlJc w:val="left"/>
      <w:pPr>
        <w:ind w:left="3240" w:hanging="360"/>
      </w:pPr>
      <w:rPr>
        <w:rFonts w:ascii="Courier New" w:hAnsi="Courier New" w:hint="default"/>
      </w:rPr>
    </w:lvl>
    <w:lvl w:ilvl="5" w:tplc="453A553C" w:tentative="1">
      <w:start w:val="1"/>
      <w:numFmt w:val="bullet"/>
      <w:lvlText w:val=""/>
      <w:lvlJc w:val="left"/>
      <w:pPr>
        <w:ind w:left="3960" w:hanging="360"/>
      </w:pPr>
      <w:rPr>
        <w:rFonts w:ascii="Wingdings" w:hAnsi="Wingdings" w:hint="default"/>
      </w:rPr>
    </w:lvl>
    <w:lvl w:ilvl="6" w:tplc="4CF49630" w:tentative="1">
      <w:start w:val="1"/>
      <w:numFmt w:val="bullet"/>
      <w:lvlText w:val=""/>
      <w:lvlJc w:val="left"/>
      <w:pPr>
        <w:ind w:left="4680" w:hanging="360"/>
      </w:pPr>
      <w:rPr>
        <w:rFonts w:ascii="Symbol" w:hAnsi="Symbol" w:hint="default"/>
      </w:rPr>
    </w:lvl>
    <w:lvl w:ilvl="7" w:tplc="2D962B30" w:tentative="1">
      <w:start w:val="1"/>
      <w:numFmt w:val="bullet"/>
      <w:lvlText w:val="o"/>
      <w:lvlJc w:val="left"/>
      <w:pPr>
        <w:ind w:left="5400" w:hanging="360"/>
      </w:pPr>
      <w:rPr>
        <w:rFonts w:ascii="Courier New" w:hAnsi="Courier New" w:hint="default"/>
      </w:rPr>
    </w:lvl>
    <w:lvl w:ilvl="8" w:tplc="51966BD2" w:tentative="1">
      <w:start w:val="1"/>
      <w:numFmt w:val="bullet"/>
      <w:lvlText w:val=""/>
      <w:lvlJc w:val="left"/>
      <w:pPr>
        <w:ind w:left="6120" w:hanging="360"/>
      </w:pPr>
      <w:rPr>
        <w:rFonts w:ascii="Wingdings" w:hAnsi="Wingdings" w:hint="default"/>
      </w:rPr>
    </w:lvl>
  </w:abstractNum>
  <w:abstractNum w:abstractNumId="5"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A711E"/>
    <w:multiLevelType w:val="hybridMultilevel"/>
    <w:tmpl w:val="E5A470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CDB371A"/>
    <w:multiLevelType w:val="hybridMultilevel"/>
    <w:tmpl w:val="2DEC06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B1300"/>
    <w:multiLevelType w:val="hybridMultilevel"/>
    <w:tmpl w:val="A326678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8"/>
  </w:num>
  <w:num w:numId="6">
    <w:abstractNumId w:val="9"/>
  </w:num>
  <w:num w:numId="7">
    <w:abstractNumId w:val="4"/>
  </w:num>
  <w:num w:numId="8">
    <w:abstractNumId w:val="1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rgUA1PXRQywAAAA="/>
  </w:docVars>
  <w:rsids>
    <w:rsidRoot w:val="00BC5D95"/>
    <w:rsid w:val="00030C9B"/>
    <w:rsid w:val="002828F4"/>
    <w:rsid w:val="002B16E4"/>
    <w:rsid w:val="0035698D"/>
    <w:rsid w:val="00492A27"/>
    <w:rsid w:val="005E7DD4"/>
    <w:rsid w:val="00617914"/>
    <w:rsid w:val="006679EF"/>
    <w:rsid w:val="00677C18"/>
    <w:rsid w:val="006E624F"/>
    <w:rsid w:val="0078780B"/>
    <w:rsid w:val="00916D71"/>
    <w:rsid w:val="009752AD"/>
    <w:rsid w:val="00994F94"/>
    <w:rsid w:val="00AE68C9"/>
    <w:rsid w:val="00B848EF"/>
    <w:rsid w:val="00BB547E"/>
    <w:rsid w:val="00BB5631"/>
    <w:rsid w:val="00BC5D95"/>
    <w:rsid w:val="00C02F8D"/>
    <w:rsid w:val="00C20099"/>
    <w:rsid w:val="00D647A7"/>
    <w:rsid w:val="00E14FF3"/>
    <w:rsid w:val="00E50639"/>
    <w:rsid w:val="00EF2FDB"/>
    <w:rsid w:val="00EF6D1A"/>
    <w:rsid w:val="00F241C7"/>
    <w:rsid w:val="00F34413"/>
    <w:rsid w:val="42F7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paragraph" w:styleId="NormalWeb">
    <w:name w:val="Normal (Web)"/>
    <w:basedOn w:val="Normal"/>
    <w:uiPriority w:val="99"/>
    <w:unhideWhenUsed/>
    <w:rsid w:val="00F241C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41C7"/>
    <w:pPr>
      <w:spacing w:after="0" w:line="240" w:lineRule="auto"/>
    </w:pPr>
  </w:style>
  <w:style w:type="table" w:styleId="TableGrid0">
    <w:name w:val="Table Grid"/>
    <w:basedOn w:val="TableNormal"/>
    <w:uiPriority w:val="59"/>
    <w:rsid w:val="00F2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2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77581">
      <w:bodyDiv w:val="1"/>
      <w:marLeft w:val="0"/>
      <w:marRight w:val="0"/>
      <w:marTop w:val="0"/>
      <w:marBottom w:val="0"/>
      <w:divBdr>
        <w:top w:val="none" w:sz="0" w:space="0" w:color="auto"/>
        <w:left w:val="none" w:sz="0" w:space="0" w:color="auto"/>
        <w:bottom w:val="none" w:sz="0" w:space="0" w:color="auto"/>
        <w:right w:val="none" w:sz="0" w:space="0" w:color="auto"/>
      </w:divBdr>
      <w:divsChild>
        <w:div w:id="1676691522">
          <w:marLeft w:val="0"/>
          <w:marRight w:val="0"/>
          <w:marTop w:val="0"/>
          <w:marBottom w:val="0"/>
          <w:divBdr>
            <w:top w:val="none" w:sz="0" w:space="0" w:color="auto"/>
            <w:left w:val="none" w:sz="0" w:space="0" w:color="auto"/>
            <w:bottom w:val="none" w:sz="0" w:space="0" w:color="auto"/>
            <w:right w:val="none" w:sz="0" w:space="0" w:color="auto"/>
          </w:divBdr>
          <w:divsChild>
            <w:div w:id="1475104889">
              <w:marLeft w:val="0"/>
              <w:marRight w:val="0"/>
              <w:marTop w:val="0"/>
              <w:marBottom w:val="0"/>
              <w:divBdr>
                <w:top w:val="none" w:sz="0" w:space="0" w:color="auto"/>
                <w:left w:val="none" w:sz="0" w:space="0" w:color="auto"/>
                <w:bottom w:val="none" w:sz="0" w:space="0" w:color="auto"/>
                <w:right w:val="none" w:sz="0" w:space="0" w:color="auto"/>
              </w:divBdr>
              <w:divsChild>
                <w:div w:id="1862813373">
                  <w:marLeft w:val="0"/>
                  <w:marRight w:val="0"/>
                  <w:marTop w:val="0"/>
                  <w:marBottom w:val="0"/>
                  <w:divBdr>
                    <w:top w:val="none" w:sz="0" w:space="0" w:color="auto"/>
                    <w:left w:val="none" w:sz="0" w:space="0" w:color="auto"/>
                    <w:bottom w:val="none" w:sz="0" w:space="0" w:color="auto"/>
                    <w:right w:val="none" w:sz="0" w:space="0" w:color="auto"/>
                  </w:divBdr>
                  <w:divsChild>
                    <w:div w:id="3591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betastatic.fishersci.com/content/dam/fishersci/en_US/documents/programs/education/regulatory-documents/sds/chemicals/chemicals-n/S2544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niosh/npg/npgd0447.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gw.arizona.edu/sites/default/files/cs-univeristy_chemical_hygiene_pla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chem.ncbi.nlm.nih.gov/compound/Nitric-acid" TargetMode="External"/><Relationship Id="rId5" Type="http://schemas.openxmlformats.org/officeDocument/2006/relationships/footnotes" Target="footnotes.xml"/><Relationship Id="rId15" Type="http://schemas.openxmlformats.org/officeDocument/2006/relationships/hyperlink" Target="https://www.umflint.edu/sites/default/files/groups/Environment__Health___Safety/SOP_PDF/nitricacid.pdf" TargetMode="External"/><Relationship Id="rId10" Type="http://schemas.openxmlformats.org/officeDocument/2006/relationships/hyperlink" Target="https://rgw.arizona.edu/sites/default/files/cs-univeristy_chemical_hygiene_plan.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rlss-ppe@arizona.edu" TargetMode="External"/><Relationship Id="rId14" Type="http://schemas.openxmlformats.org/officeDocument/2006/relationships/hyperlink" Target="https://www.ehs.washington.edu/resource/nitric-acid-sop-6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760DCF"/>
    <w:rsid w:val="008D66D6"/>
    <w:rsid w:val="00B1652C"/>
    <w:rsid w:val="00B91A1F"/>
    <w:rsid w:val="00BE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11</cp:revision>
  <dcterms:created xsi:type="dcterms:W3CDTF">2021-03-31T13:10:00Z</dcterms:created>
  <dcterms:modified xsi:type="dcterms:W3CDTF">2021-07-14T19:27:00Z</dcterms:modified>
</cp:coreProperties>
</file>